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357E" w:rsidRDefault="006C7199">
      <w:r>
        <w:t>Schenk v United States (1919)</w:t>
      </w:r>
    </w:p>
    <w:p w:rsidR="006C7199" w:rsidRDefault="006C7199"/>
    <w:p w:rsidR="006C7199" w:rsidRPr="0065108F" w:rsidRDefault="006C7199" w:rsidP="006C7199">
      <w:pPr>
        <w:rPr>
          <w:b/>
          <w:u w:val="single"/>
        </w:rPr>
      </w:pPr>
      <w:r>
        <w:rPr>
          <w:b/>
          <w:u w:val="single"/>
        </w:rPr>
        <w:t>1</w:t>
      </w:r>
      <w:r w:rsidRPr="0065108F">
        <w:rPr>
          <w:b/>
          <w:u w:val="single"/>
        </w:rPr>
        <w:t>st amendment:</w:t>
      </w:r>
    </w:p>
    <w:p w:rsidR="006C7199" w:rsidRDefault="006C7199" w:rsidP="006C7199">
      <w:pPr>
        <w:rPr>
          <w:rFonts w:ascii="Helvetica" w:hAnsi="Helvetica"/>
          <w:color w:val="303133"/>
          <w:sz w:val="27"/>
          <w:szCs w:val="27"/>
          <w:shd w:val="clear" w:color="auto" w:fill="F8F8F8"/>
        </w:rPr>
      </w:pPr>
      <w:r>
        <w:rPr>
          <w:rFonts w:ascii="Helvetica" w:hAnsi="Helvetica"/>
          <w:color w:val="303133"/>
          <w:sz w:val="27"/>
          <w:szCs w:val="27"/>
          <w:shd w:val="clear" w:color="auto" w:fill="F8F8F8"/>
        </w:rPr>
        <w:t>Congress shall make no law respecting an establishment of religion or prohibiting the free exercise thereof, or abridging the freedom of speech or of the press, or the right of the people peaceably to assemble and to petition the government for a redress of grievances.</w:t>
      </w:r>
    </w:p>
    <w:p w:rsidR="006C7199" w:rsidRPr="000944B4" w:rsidRDefault="006C7199" w:rsidP="006C7199">
      <w:pPr>
        <w:rPr>
          <w:rFonts w:ascii="Helvetica" w:hAnsi="Helvetica"/>
          <w:b/>
          <w:color w:val="303133"/>
          <w:sz w:val="27"/>
          <w:szCs w:val="27"/>
          <w:u w:val="single"/>
          <w:shd w:val="clear" w:color="auto" w:fill="F8F8F8"/>
        </w:rPr>
      </w:pPr>
    </w:p>
    <w:p w:rsidR="000944B4" w:rsidRDefault="006C7199" w:rsidP="006C7199">
      <w:pPr>
        <w:rPr>
          <w:b/>
          <w:u w:val="single"/>
        </w:rPr>
      </w:pPr>
      <w:r w:rsidRPr="000944B4">
        <w:rPr>
          <w:b/>
          <w:u w:val="single"/>
        </w:rPr>
        <w:t>Syllabus of the case (i.e. the facts of the case):</w:t>
      </w:r>
    </w:p>
    <w:p w:rsidR="000944B4" w:rsidRPr="000944B4" w:rsidRDefault="000944B4" w:rsidP="006C7199">
      <w:pPr>
        <w:rPr>
          <w:b/>
          <w:u w:val="single"/>
        </w:rPr>
      </w:pPr>
      <w:r>
        <w:rPr>
          <w:rFonts w:ascii="Verdana" w:hAnsi="Verdana"/>
          <w:color w:val="333333"/>
          <w:sz w:val="18"/>
          <w:szCs w:val="18"/>
        </w:rPr>
        <w:br/>
      </w:r>
      <w:r>
        <w:rPr>
          <w:noProof/>
        </w:rPr>
        <w:drawing>
          <wp:inline distT="0" distB="0" distL="0" distR="0">
            <wp:extent cx="2981325" cy="19050"/>
            <wp:effectExtent l="0" t="0" r="9525" b="0"/>
            <wp:docPr id="1" name="Picture 1" descr="https://www.thirteen.org/wnet/supremecourt/capitalism/images/dotted_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thirteen.org/wnet/supremecourt/capitalism/images/dotted_line.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81325" cy="19050"/>
                    </a:xfrm>
                    <a:prstGeom prst="rect">
                      <a:avLst/>
                    </a:prstGeom>
                    <a:noFill/>
                    <a:ln>
                      <a:noFill/>
                    </a:ln>
                  </pic:spPr>
                </pic:pic>
              </a:graphicData>
            </a:graphic>
          </wp:inline>
        </w:drawing>
      </w:r>
      <w:r>
        <w:rPr>
          <w:rFonts w:ascii="Verdana" w:hAnsi="Verdana"/>
          <w:color w:val="333333"/>
          <w:sz w:val="18"/>
          <w:szCs w:val="18"/>
        </w:rPr>
        <w:br/>
      </w:r>
      <w:r>
        <w:rPr>
          <w:rFonts w:ascii="Verdana" w:hAnsi="Verdana"/>
          <w:color w:val="333333"/>
          <w:sz w:val="18"/>
          <w:szCs w:val="18"/>
          <w:shd w:val="clear" w:color="auto" w:fill="FFFFFF"/>
        </w:rPr>
        <w:t>In Schenck v. United States (1919), the Supreme Court invented the famous "clear and present danger" test to determine when a state could constitutionally limit an individual's free speech rights under the </w:t>
      </w:r>
      <w:hyperlink r:id="rId5" w:history="1">
        <w:r>
          <w:rPr>
            <w:rStyle w:val="Hyperlink"/>
            <w:rFonts w:ascii="Verdana" w:hAnsi="Verdana"/>
            <w:color w:val="333333"/>
            <w:sz w:val="18"/>
            <w:szCs w:val="18"/>
            <w:shd w:val="clear" w:color="auto" w:fill="FFFFFF"/>
          </w:rPr>
          <w:t>First Amendment</w:t>
        </w:r>
      </w:hyperlink>
      <w:r>
        <w:rPr>
          <w:rFonts w:ascii="Verdana" w:hAnsi="Verdana"/>
          <w:color w:val="333333"/>
          <w:sz w:val="18"/>
          <w:szCs w:val="18"/>
          <w:shd w:val="clear" w:color="auto" w:fill="FFFFFF"/>
        </w:rPr>
        <w:t>. In reviewing the conviction of a man charged with distributing provocative flyers to draftees of World War I, the Court asserted that, in certain contexts, words can create a "clear and present danger" that Congress may constitutionally prohibit. While the ruling has since been overturned, Schenck is still significant for creating the context-based balancing tests used in reviewing freedom of speech challenges.</w:t>
      </w:r>
      <w:r>
        <w:rPr>
          <w:rFonts w:ascii="Verdana" w:hAnsi="Verdana"/>
          <w:color w:val="333333"/>
          <w:sz w:val="18"/>
          <w:szCs w:val="18"/>
        </w:rPr>
        <w:br/>
      </w:r>
      <w:r>
        <w:rPr>
          <w:rFonts w:ascii="Verdana" w:hAnsi="Verdana"/>
          <w:color w:val="333333"/>
          <w:sz w:val="18"/>
          <w:szCs w:val="18"/>
        </w:rPr>
        <w:br/>
      </w:r>
      <w:r>
        <w:rPr>
          <w:rFonts w:ascii="Verdana" w:hAnsi="Verdana"/>
          <w:color w:val="333333"/>
          <w:sz w:val="18"/>
          <w:szCs w:val="18"/>
          <w:shd w:val="clear" w:color="auto" w:fill="FFFFFF"/>
        </w:rPr>
        <w:t xml:space="preserve">The case involved a prominent socialist, Charles Schenck, who attempted to distribute thousands of flyers to American servicemen recently drafted to fight in World War I. </w:t>
      </w:r>
      <w:proofErr w:type="spellStart"/>
      <w:r>
        <w:rPr>
          <w:rFonts w:ascii="Verdana" w:hAnsi="Verdana"/>
          <w:color w:val="333333"/>
          <w:sz w:val="18"/>
          <w:szCs w:val="18"/>
          <w:shd w:val="clear" w:color="auto" w:fill="FFFFFF"/>
        </w:rPr>
        <w:t>Schenck's</w:t>
      </w:r>
      <w:proofErr w:type="spellEnd"/>
      <w:r>
        <w:rPr>
          <w:rFonts w:ascii="Verdana" w:hAnsi="Verdana"/>
          <w:color w:val="333333"/>
          <w:sz w:val="18"/>
          <w:szCs w:val="18"/>
          <w:shd w:val="clear" w:color="auto" w:fill="FFFFFF"/>
        </w:rPr>
        <w:t xml:space="preserve"> flyers asserted that the draft amounted to "involuntary servitude" proscribed by the Constitution's Thirteenth Amendment (outlawing slavery) and that the war itself was motivated by capitalist greed, and urged draftees to petition for repeal of the draft. Schenck was charged by the U.S. government with violating the recently enacted Espionage Act. The government alleged that Schenck violated the act by conspiring "to cause insubordination ... in the military and naval forces of the United States." Schenck responded that the Espionage Act violated the First Amendment of the Constitution, which forbids Congress from making any law abridging the freedom of speech. He was found guilty on all charges. The U.S. Supreme Court reviewed </w:t>
      </w:r>
      <w:proofErr w:type="spellStart"/>
      <w:r>
        <w:rPr>
          <w:rFonts w:ascii="Verdana" w:hAnsi="Verdana"/>
          <w:color w:val="333333"/>
          <w:sz w:val="18"/>
          <w:szCs w:val="18"/>
          <w:shd w:val="clear" w:color="auto" w:fill="FFFFFF"/>
        </w:rPr>
        <w:t>Schenck's</w:t>
      </w:r>
      <w:proofErr w:type="spellEnd"/>
      <w:r>
        <w:rPr>
          <w:rFonts w:ascii="Verdana" w:hAnsi="Verdana"/>
          <w:color w:val="333333"/>
          <w:sz w:val="18"/>
          <w:szCs w:val="18"/>
          <w:shd w:val="clear" w:color="auto" w:fill="FFFFFF"/>
        </w:rPr>
        <w:t xml:space="preserve"> conviction on appeal.</w:t>
      </w:r>
      <w:r>
        <w:rPr>
          <w:rFonts w:ascii="Verdana" w:hAnsi="Verdana"/>
          <w:color w:val="333333"/>
          <w:sz w:val="18"/>
          <w:szCs w:val="18"/>
        </w:rPr>
        <w:br/>
      </w:r>
      <w:r>
        <w:rPr>
          <w:rFonts w:ascii="Verdana" w:hAnsi="Verdana"/>
          <w:color w:val="333333"/>
          <w:sz w:val="18"/>
          <w:szCs w:val="18"/>
        </w:rPr>
        <w:br/>
      </w:r>
      <w:r>
        <w:rPr>
          <w:rFonts w:ascii="Verdana" w:hAnsi="Verdana"/>
          <w:color w:val="333333"/>
          <w:sz w:val="18"/>
          <w:szCs w:val="18"/>
          <w:shd w:val="clear" w:color="auto" w:fill="FFFFFF"/>
        </w:rPr>
        <w:t>The Supreme Court, in a pioneering opinion written by </w:t>
      </w:r>
      <w:hyperlink r:id="rId6" w:history="1">
        <w:r>
          <w:rPr>
            <w:rStyle w:val="Hyperlink"/>
            <w:rFonts w:ascii="Verdana" w:hAnsi="Verdana"/>
            <w:color w:val="333333"/>
            <w:sz w:val="18"/>
            <w:szCs w:val="18"/>
            <w:shd w:val="clear" w:color="auto" w:fill="FFFFFF"/>
          </w:rPr>
          <w:t>Justice Oliver Wendell Holmes</w:t>
        </w:r>
      </w:hyperlink>
      <w:r>
        <w:rPr>
          <w:rFonts w:ascii="Verdana" w:hAnsi="Verdana"/>
          <w:color w:val="333333"/>
          <w:sz w:val="18"/>
          <w:szCs w:val="18"/>
          <w:shd w:val="clear" w:color="auto" w:fill="FFFFFF"/>
        </w:rPr>
        <w:t xml:space="preserve">, upheld </w:t>
      </w:r>
      <w:proofErr w:type="spellStart"/>
      <w:r>
        <w:rPr>
          <w:rFonts w:ascii="Verdana" w:hAnsi="Verdana"/>
          <w:color w:val="333333"/>
          <w:sz w:val="18"/>
          <w:szCs w:val="18"/>
          <w:shd w:val="clear" w:color="auto" w:fill="FFFFFF"/>
        </w:rPr>
        <w:t>Schenck's</w:t>
      </w:r>
      <w:proofErr w:type="spellEnd"/>
      <w:r>
        <w:rPr>
          <w:rFonts w:ascii="Verdana" w:hAnsi="Verdana"/>
          <w:color w:val="333333"/>
          <w:sz w:val="18"/>
          <w:szCs w:val="18"/>
          <w:shd w:val="clear" w:color="auto" w:fill="FFFFFF"/>
        </w:rPr>
        <w:t xml:space="preserve"> conviction and ruled that the Espionage Act did not violate the First Amendment. The Court maintained that Schenck had fully intended to undermine the draft because his flyers were designed to have precisely that effect. The Court then argued that "the character of every act depends upon the circumstances in which it is done." While in peacetime such flyers could be construed as harmless speech, in times of war they could be construed as acts of national insubordination. The Court famously analogized to a man who cries "Fire!" in a crowded theater. In a quiet park or home, such a cry would be protected by the First Amendment, but "the most stringent protection of free speech would not protect a man in falsely shouting fire in a theatre and causing a panic." </w:t>
      </w:r>
      <w:r>
        <w:rPr>
          <w:rFonts w:ascii="Verdana" w:hAnsi="Verdana"/>
          <w:color w:val="333333"/>
          <w:sz w:val="18"/>
          <w:szCs w:val="18"/>
        </w:rPr>
        <w:br/>
      </w:r>
      <w:r>
        <w:rPr>
          <w:rFonts w:ascii="Verdana" w:hAnsi="Verdana"/>
          <w:color w:val="333333"/>
          <w:sz w:val="18"/>
          <w:szCs w:val="18"/>
        </w:rPr>
        <w:br/>
      </w:r>
      <w:r>
        <w:rPr>
          <w:rFonts w:ascii="Verdana" w:hAnsi="Verdana"/>
          <w:color w:val="333333"/>
          <w:sz w:val="18"/>
          <w:szCs w:val="18"/>
          <w:shd w:val="clear" w:color="auto" w:fill="FFFFFF"/>
        </w:rPr>
        <w:t xml:space="preserve">In sum, free speech rights afforded by the First Amendment, while generous, are not limitless, and context determines the limits. "The question in every case is whether the words used are used in such circumstances and are of such a nature as to create a clear and present danger that they will bring </w:t>
      </w:r>
      <w:r>
        <w:rPr>
          <w:rFonts w:ascii="Verdana" w:hAnsi="Verdana"/>
          <w:color w:val="333333"/>
          <w:sz w:val="18"/>
          <w:szCs w:val="18"/>
          <w:shd w:val="clear" w:color="auto" w:fill="FFFFFF"/>
        </w:rPr>
        <w:lastRenderedPageBreak/>
        <w:t xml:space="preserve">about the substantive evils that Congress has a right to prevent." Against this test, the Court upheld the Espionage Act and affirmed </w:t>
      </w:r>
      <w:proofErr w:type="spellStart"/>
      <w:r>
        <w:rPr>
          <w:rFonts w:ascii="Verdana" w:hAnsi="Verdana"/>
          <w:color w:val="333333"/>
          <w:sz w:val="18"/>
          <w:szCs w:val="18"/>
          <w:shd w:val="clear" w:color="auto" w:fill="FFFFFF"/>
        </w:rPr>
        <w:t>Schenck's</w:t>
      </w:r>
      <w:proofErr w:type="spellEnd"/>
      <w:r>
        <w:rPr>
          <w:rFonts w:ascii="Verdana" w:hAnsi="Verdana"/>
          <w:color w:val="333333"/>
          <w:sz w:val="18"/>
          <w:szCs w:val="18"/>
          <w:shd w:val="clear" w:color="auto" w:fill="FFFFFF"/>
        </w:rPr>
        <w:t xml:space="preserve"> conviction, finding that his speech had created a clear and present danger of insubordination in wartime. </w:t>
      </w:r>
      <w:r>
        <w:rPr>
          <w:rFonts w:ascii="Verdana" w:hAnsi="Verdana"/>
          <w:color w:val="333333"/>
          <w:sz w:val="18"/>
          <w:szCs w:val="18"/>
        </w:rPr>
        <w:br/>
      </w:r>
      <w:r>
        <w:rPr>
          <w:rFonts w:ascii="Verdana" w:hAnsi="Verdana"/>
          <w:color w:val="333333"/>
          <w:sz w:val="18"/>
          <w:szCs w:val="18"/>
        </w:rPr>
        <w:br/>
      </w:r>
      <w:r>
        <w:rPr>
          <w:rFonts w:ascii="Verdana" w:hAnsi="Verdana"/>
          <w:color w:val="333333"/>
          <w:sz w:val="18"/>
          <w:szCs w:val="18"/>
          <w:shd w:val="clear" w:color="auto" w:fill="FFFFFF"/>
        </w:rPr>
        <w:t>The decision, in addition to sending Charles Schenck to jail for six months, resulted in a pragmatic "balancing test" allowing the Supreme Court to assess free speech challenges against the state's interests on a case-by-case basis. (Justice Holmes, the test's creator, however, would attempt to refine the standard less than a year later, when he famously reversed himself and dissented in a similar free speech case, </w:t>
      </w:r>
      <w:hyperlink r:id="rId7" w:history="1">
        <w:r>
          <w:rPr>
            <w:rStyle w:val="Hyperlink"/>
            <w:rFonts w:ascii="Verdana" w:hAnsi="Verdana"/>
            <w:color w:val="333333"/>
            <w:sz w:val="18"/>
            <w:szCs w:val="18"/>
            <w:shd w:val="clear" w:color="auto" w:fill="FFFFFF"/>
          </w:rPr>
          <w:t>Abrams v. United States</w:t>
        </w:r>
      </w:hyperlink>
      <w:r>
        <w:rPr>
          <w:rFonts w:ascii="Verdana" w:hAnsi="Verdana"/>
          <w:color w:val="333333"/>
          <w:sz w:val="18"/>
          <w:szCs w:val="18"/>
          <w:shd w:val="clear" w:color="auto" w:fill="FFFFFF"/>
        </w:rPr>
        <w:t>.) However, the "clear and present danger" test would only last for 50 years. In 1969, the Court in Brandenburg v. Ohio replaced it with the "imminent lawless action" test, one that protects a broader range of speech. This test states that the government may only limit speech that incites unlawful action sooner than the police can arrive to prevent that action. As of 2006, the "imminent lawless action" test is still used.</w:t>
      </w:r>
    </w:p>
    <w:p w:rsidR="000944B4" w:rsidRDefault="000944B4" w:rsidP="000944B4">
      <w:pPr>
        <w:rPr>
          <w:b/>
          <w:u w:val="single"/>
        </w:rPr>
      </w:pPr>
      <w:r w:rsidRPr="004D1E99">
        <w:rPr>
          <w:b/>
          <w:u w:val="single"/>
        </w:rPr>
        <w:t>Majority Opinion of SCOTUS (i.e. the ruling in the case):</w:t>
      </w:r>
    </w:p>
    <w:p w:rsidR="000944B4" w:rsidRDefault="000944B4" w:rsidP="000944B4">
      <w:pPr>
        <w:rPr>
          <w:b/>
          <w:u w:val="single"/>
        </w:rPr>
      </w:pPr>
    </w:p>
    <w:p w:rsidR="000944B4" w:rsidRDefault="000944B4" w:rsidP="000944B4">
      <w:pPr>
        <w:rPr>
          <w:b/>
          <w:u w:val="single"/>
        </w:rPr>
      </w:pPr>
      <w:r>
        <w:t xml:space="preserve">Schenck v. United States Mr. Justice HOLMES delivered the opinion of the Court. This is an indictment in three counts. The first charges a conspiracy to violate the Espionage Act of June 15, 1917, c. 30, tit. 1, 3, 40 Stat. 217, 219 (Comp. St. 1918, 10212c), by causing and attempting [249 U.S. 47, 49] to cause insubordination, &amp;c., in the military and naval forces of the United States, and to obstruct the recruiting and enlistment service of the United States, when the United States was at war with the German Empire, to-wit, that the defendant </w:t>
      </w:r>
      <w:proofErr w:type="spellStart"/>
      <w:r>
        <w:t>wilfully</w:t>
      </w:r>
      <w:proofErr w:type="spellEnd"/>
      <w:r>
        <w:t xml:space="preserve"> conspired to have printed and circulated to men who had been called and accepted for military service under the Act of May 18, 1917, c. 15, 40 Stat. 76 (Comp. St. 1918, 2044a-2044k), a document set forth and alleged to be calculated to cause such insubordination and obstruction. The count alleges overt acts in pursuance of the conspiracy, ending in the distribution of the document set forth. The second count alleges a conspiracy to commit an offense against the United States, to-wit, to use the mails for the transmission of matter declared to be non-mailable by title 12, 2, of the Act of June 15, 1917 (Comp. St. 1918, 10401b), to-wit, the </w:t>
      </w:r>
      <w:proofErr w:type="gramStart"/>
      <w:r>
        <w:t>above mentioned</w:t>
      </w:r>
      <w:proofErr w:type="gramEnd"/>
      <w:r>
        <w:t xml:space="preserve"> document, with an averment of the same overt acts. The third count charges an unlawful use of the mails for the transmission of the same matter and otherwise as above. The defendants were found guilty on all the counts. They set up the First Amendment to the Constitution forbidding Congress to make any law abridging the freedom of speech, or of the press, and bringing the case here on that ground have argued some other points also of which we must dispose. It is argued that the evidence, if admissible, was not sufficient to prove that the defendant Schenck was concerned in sending the documents. According to the testimony Schenck said he was general secretary of the Socialist party and had charge of the Socialist headquarters from which the documents were sent. He identified a book found there as the minutes of the Executive Committee of the party. The book showed a resolution of August 13, 1917, that 15,000 leaflets should be printed on the other side of one of them in use, to be mailed to men who had passed exemption boards, and for distribution. Schenck personally attended to the printing. On [249 U.S. 47, 50] August 20 the general secretary's report </w:t>
      </w:r>
      <w:proofErr w:type="gramStart"/>
      <w:r>
        <w:t>said</w:t>
      </w:r>
      <w:proofErr w:type="gramEnd"/>
      <w:r>
        <w:t xml:space="preserve"> 'Obtained new leaflets from printer and started work addressing envelopes' &amp;c.; and there was a resolve that Comrade Schenck be allowed $125 for sending leaflets through the mail. He said that he had about fifteen or sixteen thousand printed. There were files of the circular in question in the inner office which he said were printed on the other </w:t>
      </w:r>
      <w:r>
        <w:lastRenderedPageBreak/>
        <w:t xml:space="preserve">side of the one sided circular and were there for distribution. Other copies were proved to have been sent through the mails to </w:t>
      </w:r>
      <w:proofErr w:type="gramStart"/>
      <w:r>
        <w:t>drafted</w:t>
      </w:r>
      <w:proofErr w:type="gramEnd"/>
      <w:r>
        <w:t xml:space="preserve"> men. Without going into confirmatory details that were proved, no reasonable man could doubt that the defendant Schenck was largely instrumental in sending the circulars about. As to the defendant Baer there was evidence that she was a member of the Executive Board and that the minutes of its transactions were hers. The argument as to the sufficiency of the evidence that the defendants</w:t>
      </w:r>
      <w:r w:rsidRPr="000944B4">
        <w:t xml:space="preserve"> </w:t>
      </w:r>
      <w:r>
        <w:t xml:space="preserve">conspired to send the documents only impairs the seriousness of the real </w:t>
      </w:r>
      <w:proofErr w:type="spellStart"/>
      <w:r>
        <w:t>defence</w:t>
      </w:r>
      <w:proofErr w:type="spellEnd"/>
      <w:r>
        <w:t xml:space="preserve">. It is objected that the documentary evidence was not admissible because obtained upon a search warrant, valid so far as appears. The contrary is established. Adams v. New York, 192 U.S. </w:t>
      </w:r>
      <w:proofErr w:type="gramStart"/>
      <w:r>
        <w:t>585 ,</w:t>
      </w:r>
      <w:proofErr w:type="gramEnd"/>
      <w:r>
        <w:t xml:space="preserve"> 24 Sup. Ct. 372; Weeks v. United States, 232 U.S. 383, </w:t>
      </w:r>
      <w:proofErr w:type="gramStart"/>
      <w:r>
        <w:t>395 ,</w:t>
      </w:r>
      <w:proofErr w:type="gramEnd"/>
      <w:r>
        <w:t xml:space="preserve"> 396 S., 34 Sup. Ct. 341, L. R. A. 1915B, 834, Ann. Cas. 1915C, 1177. The search warrant did not issue against the defendant but against the Socialist headquarters at 1326 Arch street and </w:t>
      </w:r>
      <w:proofErr w:type="gramStart"/>
      <w:r>
        <w:t>it would seem that the</w:t>
      </w:r>
      <w:proofErr w:type="gramEnd"/>
      <w:r>
        <w:t xml:space="preserve"> documents technically were not even in the defendants' possession. See Johnson v. United States, 228 U.S. </w:t>
      </w:r>
      <w:proofErr w:type="gramStart"/>
      <w:r>
        <w:t>457 ,</w:t>
      </w:r>
      <w:proofErr w:type="gramEnd"/>
      <w:r>
        <w:t xml:space="preserve"> 33 Sup. Ct. 572, 47 L. R. A. </w:t>
      </w:r>
      <w:proofErr w:type="gramStart"/>
      <w:r>
        <w:t>( N.</w:t>
      </w:r>
      <w:proofErr w:type="gramEnd"/>
      <w:r>
        <w:t xml:space="preserve"> S.) 263. Notwithstanding some protest in argument the notion that evidence even directly proceeding from the defendant in a criminal proceeding is excluded in all cases by the Fifth Amendment is plainly unsound. Holt v. United States, 218 U.S. 245, </w:t>
      </w:r>
      <w:proofErr w:type="gramStart"/>
      <w:r>
        <w:t>252 ,</w:t>
      </w:r>
      <w:proofErr w:type="gramEnd"/>
      <w:r>
        <w:t xml:space="preserve"> 253 S., 31 Sup. Ct. 2 The document in question upon its first printed side recited the first section of the Thirteenth Amendment, said that the idea embodied in it was violated by the conscription act and that a conscript is little better than a [249 U.S. 47, 51] convict. In impassioned language it intimated that conscription was despotism in its worst form and a monstrous wrong against humanity in the interest of Wall Street's chosen few. It said, 'Do not submit to intimidation,' but in form at least confined itself to peaceful measures such as a petition for the repeal of the act. The other and later printed side of the sheet was headed 'Assert Your Rights.' It stated reasons for alleging that any one violated the Constitution when he refused to recognize 'your right to assert your opposition to the draft,' and went on, 'If you do not assert and support your rights, you are helping to deny or disparage rights which it is the solemn duty of all citizens and residents of the United States to retain.' It described the arguments on the other side as coming from cunning politicians and a mercenary capitalist press, and even silent consent to the conscription law as helping to support an infamous conspiracy. It denied the power to send our citizens away to foreign shores to shoot up the people of other lands, and added that words could not express the condemnation such cold-blooded ruthlessness </w:t>
      </w:r>
      <w:proofErr w:type="gramStart"/>
      <w:r>
        <w:t>deserves ,</w:t>
      </w:r>
      <w:proofErr w:type="gramEnd"/>
      <w:r>
        <w:t xml:space="preserve"> &amp;c., &amp;c., winding up, 'You must do your share to maintain, support and uphold the rights of the people of this country.' </w:t>
      </w:r>
      <w:proofErr w:type="gramStart"/>
      <w:r>
        <w:t>Of course</w:t>
      </w:r>
      <w:proofErr w:type="gramEnd"/>
      <w:r>
        <w:t xml:space="preserve"> the</w:t>
      </w:r>
      <w:r w:rsidRPr="000944B4">
        <w:t xml:space="preserve"> </w:t>
      </w:r>
      <w:r>
        <w:t xml:space="preserve">document would not have been sent unless it had been intended to have some effect, and we do not see what effect it could be expected to have upon persons subject to the draft except to influence them to obstruct the carrying of it out. The defendants do not deny that the jury might find against them on this point. But it is said, suppose that that was the tendency of this circular, it is protected by the First Amendment to the Constitution. Two of the strongest expressions are said to be quoted respectively from well-known public men. It well may be that the prohibition of laws abridging the freedom of speech is not confined to previous restraints, although to prevent them may have been the [249 U.S. 47, 52] main purpose, as intimated in Patterson v. Colorado, 205 U.S. 454, </w:t>
      </w:r>
      <w:proofErr w:type="gramStart"/>
      <w:r>
        <w:t>462 ,</w:t>
      </w:r>
      <w:proofErr w:type="gramEnd"/>
      <w:r>
        <w:t xml:space="preserve"> 27 S. Sup. Ct. 556, 51 L. ed. 879, 10 Ann. Cas. 689. We admit that in many places and in ordinary times the defendants in saying all that was said in the circular would have been within their constitutional rights. But the character of every act depends upon the circumstances in which it is done. Aikens v. Wisconsin, 195 U.S. 194, </w:t>
      </w:r>
      <w:proofErr w:type="gramStart"/>
      <w:r>
        <w:t>205 ,</w:t>
      </w:r>
      <w:proofErr w:type="gramEnd"/>
      <w:r>
        <w:t xml:space="preserve"> 206 S., 25 Sup. Ct. 3. The most stringent protection of free speech would not protect a man in falsely shouting fire in a theatre and causing a </w:t>
      </w:r>
      <w:r>
        <w:lastRenderedPageBreak/>
        <w:t xml:space="preserve">panic. It does not even protect a man from an injunction against uttering words that may have all the effect of force. Gompers v. Buck's Stove &amp; Range Co., 221 U.S. 418, </w:t>
      </w:r>
      <w:proofErr w:type="gramStart"/>
      <w:r>
        <w:t>439 ,</w:t>
      </w:r>
      <w:proofErr w:type="gramEnd"/>
      <w:r>
        <w:t xml:space="preserve"> 31 S. Sup. Ct. 492, 55 L. ed. 797, 34 L. R. A. (N. S.) 874. The question in every case is whether the words used are used in such circumstances and are of such a nature as to create a clear and present danger that they will bring about the substantive evils that Congress has a right to prevent. It is a question of proximity and degree. When a nation is at war many things that might be said in time of peace are such a hindrance to its effort that their utterance will not be endured so long as men fight and that no Court could regard them as protected by any constitutional right.</w:t>
      </w:r>
      <w:r w:rsidRPr="000944B4">
        <w:t xml:space="preserve"> </w:t>
      </w:r>
      <w:r>
        <w:t xml:space="preserve">It seems to be admitted that if an actual obstruction of the recruiting service were proved, liability for words that produced that effect might be enforced. The statute of 1917 in section 4 (Comp. St. </w:t>
      </w:r>
      <w:proofErr w:type="gramStart"/>
      <w:r>
        <w:t>1918 ,</w:t>
      </w:r>
      <w:proofErr w:type="gramEnd"/>
      <w:r>
        <w:t xml:space="preserve"> 10212d) punishes conspiracies to obstruct as well as actual obstruction. If the act, (speaking, or circulating a paper,) its tendency and the intent with which it is done are the same, we perceive no ground for saying that success alone warrants making the act a crime. Goldman v. United States, 245 U.S. </w:t>
      </w:r>
      <w:proofErr w:type="gramStart"/>
      <w:r>
        <w:t>474 ,</w:t>
      </w:r>
      <w:proofErr w:type="gramEnd"/>
      <w:r>
        <w:t xml:space="preserve"> 477 38 Sup. Ct. 166, 62 L. ed. 410. </w:t>
      </w:r>
      <w:proofErr w:type="gramStart"/>
      <w:r>
        <w:t>Indeed</w:t>
      </w:r>
      <w:proofErr w:type="gramEnd"/>
      <w:r>
        <w:t xml:space="preserve"> that case might be said to dispose of the present contention if the precedent covers all media </w:t>
      </w:r>
      <w:proofErr w:type="spellStart"/>
      <w:r>
        <w:t>concludendi</w:t>
      </w:r>
      <w:proofErr w:type="spellEnd"/>
      <w:r>
        <w:t>. But as the right to free speech was not referred to specially, we have thought fit to add a few words. It was not argued that a conspiracy to obstruct the draft was not within the words of the Act of 1917. The [249 U.S. 47, 53] words are 'obstruct the recruiting or enlistment service,' and it might be suggested that they refer only to making it hard to get volunteers. Recruiting heretofore usually having been accomplished by getting volunteers the word is apt to call up that method only in our minds. But recruiting is gaining fresh supplies for the forces, as well by draft as otherwise. It is put as an alternative to enlistment or voluntary enrollment in this act. The fact that the Act of 1917 was enlarged by the amending Act of May 16, 1918, c. 75, 40 Stat. 553, of course, does not affect the present indictment and would not, even if the former act had been repealed. Rev. St. 13 (Comp. St. 14).</w:t>
      </w:r>
    </w:p>
    <w:p w:rsidR="000944B4" w:rsidRDefault="000944B4" w:rsidP="000944B4">
      <w:pPr>
        <w:rPr>
          <w:b/>
          <w:u w:val="single"/>
        </w:rPr>
      </w:pPr>
    </w:p>
    <w:p w:rsidR="000944B4" w:rsidRDefault="000944B4" w:rsidP="000944B4">
      <w:pPr>
        <w:rPr>
          <w:b/>
          <w:u w:val="single"/>
        </w:rPr>
      </w:pPr>
    </w:p>
    <w:p w:rsidR="000944B4" w:rsidRPr="004D1E99" w:rsidRDefault="000944B4" w:rsidP="000944B4">
      <w:pPr>
        <w:rPr>
          <w:b/>
          <w:u w:val="single"/>
        </w:rPr>
      </w:pPr>
    </w:p>
    <w:p w:rsidR="000944B4" w:rsidRDefault="000944B4" w:rsidP="000944B4">
      <w:pPr>
        <w:rPr>
          <w:b/>
          <w:u w:val="single"/>
        </w:rPr>
      </w:pPr>
      <w:r>
        <w:rPr>
          <w:b/>
          <w:u w:val="single"/>
        </w:rPr>
        <w:t>D</w:t>
      </w:r>
      <w:r w:rsidRPr="004D1E99">
        <w:rPr>
          <w:b/>
          <w:u w:val="single"/>
        </w:rPr>
        <w:t>issenting Opinion of SCOTUS (i.e. a justice or justices who disagreed with the majority opinion)</w:t>
      </w:r>
      <w:r>
        <w:rPr>
          <w:b/>
          <w:u w:val="single"/>
        </w:rPr>
        <w:t>:</w:t>
      </w:r>
    </w:p>
    <w:p w:rsidR="00C4016F" w:rsidRDefault="00C4016F" w:rsidP="000944B4">
      <w:pPr>
        <w:rPr>
          <w:b/>
          <w:u w:val="single"/>
        </w:rPr>
      </w:pPr>
    </w:p>
    <w:p w:rsidR="006C7199" w:rsidRPr="00FF7E97" w:rsidRDefault="006C7199" w:rsidP="006C7199">
      <w:pPr>
        <w:rPr>
          <w:rFonts w:ascii="Helvetica" w:hAnsi="Helvetica"/>
          <w:color w:val="303133"/>
          <w:sz w:val="27"/>
          <w:szCs w:val="27"/>
          <w:shd w:val="clear" w:color="auto" w:fill="F8F8F8"/>
        </w:rPr>
      </w:pPr>
      <w:bookmarkStart w:id="0" w:name="_GoBack"/>
      <w:bookmarkEnd w:id="0"/>
    </w:p>
    <w:p w:rsidR="006C7199" w:rsidRDefault="006C7199"/>
    <w:sectPr w:rsidR="006C71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199"/>
    <w:rsid w:val="00037583"/>
    <w:rsid w:val="000944B4"/>
    <w:rsid w:val="001C357E"/>
    <w:rsid w:val="003644B6"/>
    <w:rsid w:val="006C7199"/>
    <w:rsid w:val="00832144"/>
    <w:rsid w:val="00C401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7107A7-9130-4551-8633-3A7C7DBAE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944B4"/>
    <w:rPr>
      <w:color w:val="0000FF"/>
      <w:u w:val="single"/>
    </w:rPr>
  </w:style>
  <w:style w:type="paragraph" w:styleId="BalloonText">
    <w:name w:val="Balloon Text"/>
    <w:basedOn w:val="Normal"/>
    <w:link w:val="BalloonTextChar"/>
    <w:uiPriority w:val="99"/>
    <w:semiHidden/>
    <w:unhideWhenUsed/>
    <w:rsid w:val="000944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44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thirteen.org/wnet/supremecourt/personality/landmark_abrams.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hirteen.org/wnet/supremecourt/capitalism/robes_holmes.html" TargetMode="External"/><Relationship Id="rId5" Type="http://schemas.openxmlformats.org/officeDocument/2006/relationships/hyperlink" Target="javascript:word('first')" TargetMode="External"/><Relationship Id="rId4" Type="http://schemas.openxmlformats.org/officeDocument/2006/relationships/image" Target="media/image1.gi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2094</Words>
  <Characters>11940</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Brooks</dc:creator>
  <cp:lastModifiedBy>Adam Brooks</cp:lastModifiedBy>
  <cp:revision>2</cp:revision>
  <cp:lastPrinted>2018-11-07T11:48:00Z</cp:lastPrinted>
  <dcterms:created xsi:type="dcterms:W3CDTF">2018-11-08T23:56:00Z</dcterms:created>
  <dcterms:modified xsi:type="dcterms:W3CDTF">2018-11-08T23:56:00Z</dcterms:modified>
</cp:coreProperties>
</file>